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4338CA"/>
          <w:sz w:val="32"/>
          <w:szCs w:val="32"/>
        </w:rPr>
        <w:t xml:space="preserve">STA191 — Fundamentals of Data Visualization</w:t>
      </w:r>
    </w:p>
    <w:p>
      <w:pPr>
        <w:spacing w:after="40" w:before="40"/>
      </w:pPr>
      <w:r>
        <w:rPr>
          <w:b/>
          <w:bCs/>
          <w:color w:val="141B30"/>
          <w:sz w:val="22"/>
          <w:szCs w:val="22"/>
        </w:rPr>
        <w:t xml:space="preserve">Scheme of Work · Semester October 2026 – February 2027 (Session 20264)</w:t>
      </w:r>
    </w:p>
    <w:p>
      <w:pPr>
        <w:spacing w:after="120"/>
      </w:pPr>
      <w:r>
        <w:rPr>
          <w:color w:val="5B657F"/>
          <w:sz w:val="18"/>
          <w:szCs w:val="18"/>
        </w:rPr>
        <w:t xml:space="preserve">Diploma programme (Group B) · Faculty of Computer &amp; Mathematical Sciences · UiTM Cawangan Pahang, Kampus Raub</w:t>
      </w:r>
    </w:p>
    <w:p>
      <w:pPr>
        <w:spacing w:after="60"/>
      </w:pPr>
      <w:r>
        <w:rPr>
          <w:color w:val="5B657F"/>
          <w:sz w:val="18"/>
          <w:szCs w:val="18"/>
        </w:rPr>
        <w:t xml:space="preserve">Prepared by: </w:t>
      </w:r>
      <w:r>
        <w:rPr>
          <w:b/>
          <w:bCs/>
          <w:color w:val="141B30"/>
          <w:sz w:val="18"/>
          <w:szCs w:val="18"/>
        </w:rPr>
        <w:t xml:space="preserve">Suriyati Ujang</w:t>
      </w:r>
      <w:r>
        <w:rPr>
          <w:color w:val="5B657F"/>
          <w:sz w:val="18"/>
          <w:szCs w:val="18"/>
        </w:rPr>
        <w:t xml:space="preserve">, Lecturer   ·   Prepared on: 29 July 2026</w:t>
      </w:r>
    </w:p>
    <w:p>
      <w:pPr>
        <w:spacing w:after="200"/>
      </w:pPr>
      <w:r>
        <w:rPr>
          <w:i/>
          <w:iCs/>
          <w:color w:val="5B657F"/>
          <w:sz w:val="16"/>
          <w:szCs w:val="16"/>
        </w:rPr>
        <w:t xml:space="preserve">Note: Weekly dates follow the official UiTM academic calendar for the session. The lecturer may adjust the schedule as needed; students will be informed of any changes.</w:t>
      </w:r>
    </w:p>
    <w:tbl>
      <w:tblPr>
        <w:tblW w:type="dxa" w:w="12680"/>
        <w:tblBorders>
          <w:top w:val="single" w:color="C9CDE4" w:sz="4"/>
          <w:left w:val="single" w:color="C9CDE4" w:sz="4"/>
          <w:bottom w:val="single" w:color="C9CDE4" w:sz="4"/>
          <w:right w:val="single" w:color="C9CDE4" w:sz="4"/>
          <w:insideH w:val="single" w:color="C9CDE4" w:sz="4"/>
          <w:insideV w:val="single" w:color="C9CDE4" w:sz="4"/>
        </w:tblBorders>
      </w:tblPr>
      <w:tblGrid>
        <w:gridCol w:w="900"/>
        <w:gridCol w:w="2000"/>
        <w:gridCol w:w="6900"/>
        <w:gridCol w:w="2880"/>
      </w:tblGrid>
      <w:tr>
        <w:tc>
          <w:tcPr>
            <w:tcW w:type="dxa" w:w="900"/>
            <w:shd w:fill="4338C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Week</w:t>
            </w:r>
          </w:p>
        </w:tc>
        <w:tc>
          <w:tcPr>
            <w:tcW w:type="dxa" w:w="2000"/>
            <w:shd w:fill="4338C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Dates</w:t>
            </w:r>
          </w:p>
        </w:tc>
        <w:tc>
          <w:tcPr>
            <w:tcW w:type="dxa" w:w="6900"/>
            <w:shd w:fill="4338C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Topic / Content</w:t>
            </w:r>
          </w:p>
        </w:tc>
        <w:tc>
          <w:tcPr>
            <w:tcW w:type="dxa" w:w="2880"/>
            <w:shd w:fill="4338C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Assessment / Notes</w:t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28 Sep – 4 Oct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1: Introduction — exploratory vs explanatory analysis; communicating with data; overview of data visualization.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2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5 – 11 Oct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2: Effective visual &amp; reporting — presenting tables, figures and text; features of good tables and figures.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3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12 – 18 Oct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2: Types of visual presentation (table, points, lines); ends with Gantt chart.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4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19 – 25 Oct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2: Types of visual presentation (bars, histogram, boxplot, geospatial); cautious elements in visuals.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5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26 Oct – 1 Nov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Visualizing data with tools — introduction to Google Sheets; simple plots (Vol 1). Case-study report briefed.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6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 – 8 Nov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Simple plots using Google Sheets (Vol 2).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7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9 – 15 Nov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Infographics dashboard using Google Sheets (Vol 3).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8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16 – 22 Nov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3: Storytelling — storyboarding, report structure, narrative structure.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D9488"/>
                <w:sz w:val="19"/>
                <w:szCs w:val="19"/>
              </w:rPr>
              <w:t xml:space="preserve">Lab Test (20%) — Ch 1, 2 &amp; Google Sheets</w:t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9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23 – 29 Nov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Introduction to Power BI (Vol 1). Case-study presentation briefed.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10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30 Nov – 6 Dec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Simple plots using Power BI (Vol 2).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11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7 – 13 Dec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4: Infographics dashboard using Power BI (Vol 3).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12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14 – 20 Dec 2026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Case-study project: supervision, data collection &amp; group discussion.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shd w:fill="FDF3D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—</w:t>
            </w:r>
          </w:p>
        </w:tc>
        <w:tc>
          <w:tcPr>
            <w:tcW w:type="dxa" w:w="2000"/>
            <w:shd w:fill="FDF3D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21 – 27 Dec 2026</w:t>
            </w:r>
          </w:p>
        </w:tc>
        <w:tc>
          <w:tcPr>
            <w:tcW w:type="dxa" w:w="6900"/>
            <w:shd w:fill="FDF3D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5B657F"/>
                <w:sz w:val="19"/>
                <w:szCs w:val="19"/>
              </w:rPr>
              <w:t xml:space="preserve">Mid-semester break — no classes.</w:t>
            </w:r>
          </w:p>
        </w:tc>
        <w:tc>
          <w:tcPr>
            <w:tcW w:type="dxa" w:w="2880"/>
            <w:shd w:fill="FDF3D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5B657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13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28 Dec 2026 – 3 Jan 2027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Final preparation for case-study report &amp; presentation.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D9488"/>
                <w:sz w:val="19"/>
                <w:szCs w:val="19"/>
              </w:rPr>
              <w:t xml:space="preserve">Final Test (30%) — Ch 2 &amp; Power BI (practical)</w:t>
            </w:r>
          </w:p>
        </w:tc>
      </w:tr>
      <w:tr>
        <w:tc>
          <w:tcPr>
            <w:tcW w:type="dxa" w:w="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14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4 – 10 Jan 2027</w:t>
            </w:r>
          </w:p>
        </w:tc>
        <w:tc>
          <w:tcPr>
            <w:tcW w:type="dxa" w:w="6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Chapter 5: Case study in data visualization &amp; reporting — project presentation &amp; report submission.</w:t>
            </w:r>
          </w:p>
        </w:tc>
        <w:tc>
          <w:tcPr>
            <w:tcW w:type="dxa" w:w="28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D9488"/>
                <w:sz w:val="19"/>
                <w:szCs w:val="19"/>
              </w:rPr>
              <w:t xml:space="preserve">Group Project report (25%) + Presentation (25%)</w:t>
            </w:r>
          </w:p>
        </w:tc>
      </w:tr>
      <w:tr>
        <w:tc>
          <w:tcPr>
            <w:tcW w:type="dxa" w:w="900"/>
            <w:shd w:fill="F2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4338CA"/>
                <w:sz w:val="19"/>
                <w:szCs w:val="19"/>
              </w:rPr>
              <w:t xml:space="preserve">—</w:t>
            </w:r>
          </w:p>
        </w:tc>
        <w:tc>
          <w:tcPr>
            <w:tcW w:type="dxa" w:w="2000"/>
            <w:shd w:fill="F2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Study week: 11 Jan 2027</w:t>
            </w:r>
          </w:p>
        </w:tc>
        <w:tc>
          <w:tcPr>
            <w:tcW w:type="dxa" w:w="6900"/>
            <w:shd w:fill="F2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41B30"/>
                <w:sz w:val="19"/>
                <w:szCs w:val="19"/>
              </w:rPr>
              <w:t xml:space="preserve">Study week and final assessment period.</w:t>
            </w:r>
          </w:p>
        </w:tc>
        <w:tc>
          <w:tcPr>
            <w:tcW w:type="dxa" w:w="2880"/>
            <w:shd w:fill="F2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0D9488"/>
                <w:sz w:val="19"/>
                <w:szCs w:val="19"/>
              </w:rPr>
              <w:t xml:space="preserve">Final examination from 18 Jan 2027</w:t>
            </w:r>
          </w:p>
        </w:tc>
      </w:tr>
    </w:tbl>
    <w:p>
      <w:pPr>
        <w:spacing w:after="80" w:before="260"/>
      </w:pPr>
      <w:r>
        <w:rPr>
          <w:b/>
          <w:bCs/>
          <w:color w:val="4338CA"/>
          <w:sz w:val="22"/>
          <w:szCs w:val="22"/>
        </w:rPr>
        <w:t xml:space="preserve">Assessment summary</w:t>
      </w:r>
    </w:p>
    <w:p>
      <w:pPr>
        <w:spacing w:after="40"/>
      </w:pPr>
      <w:r>
        <w:rPr>
          <w:color w:val="141B30"/>
          <w:sz w:val="18"/>
          <w:szCs w:val="18"/>
        </w:rPr>
        <w:t xml:space="preserve">• Lab Test — 20%  (Week 8)      • Group Project (report) — 25%  (Week 14)      • Presentation — 25%  (Week 14)      • Final Test — 30%  (Week 13)</w:t>
      </w:r>
    </w:p>
    <w:p>
      <w:r>
        <w:rPr>
          <w:i/>
          <w:iCs/>
          <w:color w:val="5B657F"/>
          <w:sz w:val="16"/>
          <w:szCs w:val="16"/>
        </w:rPr>
        <w:t xml:space="preserve">Continuous assessment 70% · Practical final test 30% · Passing mark 50% for each component.</w:t>
      </w:r>
    </w:p>
    <w:sectPr>
      <w:pgSz w:w="15840" w:h="12240" w:orient="landscape"/>
      <w:pgMar w:top="108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B3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2026-07-29T01:14:32.217Z</dcterms:created>
  <dcterms:modified xsi:type="dcterms:W3CDTF">2026-07-29T01:14:32.217Z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